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660D5" w14:textId="2B2B1B55" w:rsidR="00315F4D" w:rsidRDefault="00315F4D" w:rsidP="00315F4D">
      <w:pPr>
        <w:rPr>
          <w:rFonts w:ascii="GTWalsheimProRegular" w:hAnsi="GTWalsheimProRegular" w:cs="Times New Roman (Body CS)"/>
          <w:b/>
          <w:color w:val="2D103D"/>
          <w:sz w:val="22"/>
          <w:szCs w:val="22"/>
        </w:rPr>
      </w:pPr>
    </w:p>
    <w:p w14:paraId="4E433B1F" w14:textId="77777777" w:rsidR="00343EC4" w:rsidRDefault="00343EC4" w:rsidP="00315F4D">
      <w:pPr>
        <w:rPr>
          <w:rFonts w:ascii="GTWalsheimProRegular" w:hAnsi="GTWalsheimProRegular" w:cs="Times New Roman (Body CS)"/>
          <w:b/>
          <w:color w:val="2D103D"/>
          <w:sz w:val="22"/>
          <w:szCs w:val="22"/>
        </w:rPr>
      </w:pPr>
    </w:p>
    <w:p w14:paraId="0B246B57" w14:textId="45DE8CE2" w:rsidR="005D26C2" w:rsidRDefault="00343EC4" w:rsidP="00F0062A">
      <w:pPr>
        <w:rPr>
          <w:rStyle w:val="eop"/>
          <w:rFonts w:asciiTheme="minorHAnsi" w:hAnsiTheme="minorHAnsi" w:cstheme="minorHAnsi"/>
          <w:color w:val="000000"/>
          <w:shd w:val="clear" w:color="auto" w:fill="FFFFFF"/>
        </w:rPr>
      </w:pPr>
      <w:proofErr w:type="spellStart"/>
      <w:r w:rsidRPr="00F0062A">
        <w:rPr>
          <w:rFonts w:asciiTheme="minorHAnsi" w:hAnsiTheme="minorHAnsi" w:cstheme="minorHAnsi"/>
        </w:rPr>
        <w:t>Wondr</w:t>
      </w:r>
      <w:proofErr w:type="spellEnd"/>
      <w:r w:rsidRPr="00F0062A">
        <w:rPr>
          <w:rFonts w:asciiTheme="minorHAnsi" w:hAnsiTheme="minorHAnsi" w:cstheme="minorHAnsi"/>
        </w:rPr>
        <w:t xml:space="preserve"> </w:t>
      </w:r>
      <w:proofErr w:type="spellStart"/>
      <w:r w:rsidRPr="00F0062A">
        <w:rPr>
          <w:rFonts w:asciiTheme="minorHAnsi" w:hAnsiTheme="minorHAnsi" w:cstheme="minorHAnsi"/>
        </w:rPr>
        <w:t>Health</w:t>
      </w:r>
      <w:r w:rsidRPr="00F0062A">
        <w:rPr>
          <w:rFonts w:asciiTheme="minorHAnsi" w:hAnsiTheme="minorHAnsi" w:cstheme="minorHAnsi"/>
          <w:vertAlign w:val="superscript"/>
        </w:rPr>
        <w:t>TM</w:t>
      </w:r>
      <w:proofErr w:type="spellEnd"/>
      <w:r w:rsidRPr="00F0062A">
        <w:rPr>
          <w:rFonts w:asciiTheme="minorHAnsi" w:hAnsiTheme="minorHAnsi" w:cstheme="minorHAnsi"/>
          <w:vertAlign w:val="superscript"/>
        </w:rPr>
        <w:t xml:space="preserve"> </w:t>
      </w:r>
      <w:r w:rsidR="00F0062A" w:rsidRPr="00F0062A">
        <w:rPr>
          <w:rStyle w:val="normaltextrun"/>
          <w:rFonts w:asciiTheme="minorHAnsi" w:hAnsiTheme="minorHAnsi" w:cstheme="minorHAnsi"/>
          <w:color w:val="000000"/>
          <w:shd w:val="clear" w:color="auto" w:fill="FFFFFF"/>
        </w:rPr>
        <w:t xml:space="preserve">is the proven leader in digital behavior transformation. Leveraging over 15 years of behavior change experience and partnership with health plans and employers, </w:t>
      </w:r>
      <w:proofErr w:type="spellStart"/>
      <w:r w:rsidR="00F0062A" w:rsidRPr="00F0062A">
        <w:rPr>
          <w:rStyle w:val="normaltextrun"/>
          <w:rFonts w:asciiTheme="minorHAnsi" w:hAnsiTheme="minorHAnsi" w:cstheme="minorHAnsi"/>
          <w:color w:val="000000"/>
          <w:shd w:val="clear" w:color="auto" w:fill="FFFFFF"/>
        </w:rPr>
        <w:t>Wondr</w:t>
      </w:r>
      <w:proofErr w:type="spellEnd"/>
      <w:r w:rsidR="00F0062A" w:rsidRPr="00F0062A">
        <w:rPr>
          <w:rStyle w:val="normaltextrun"/>
          <w:rFonts w:asciiTheme="minorHAnsi" w:hAnsiTheme="minorHAnsi" w:cstheme="minorHAnsi"/>
          <w:color w:val="000000"/>
          <w:shd w:val="clear" w:color="auto" w:fill="FFFFFF"/>
        </w:rPr>
        <w:t xml:space="preserve"> Health delivers interrelated, personalized, skill-building programs for full-spectrum weight management, mindfulness and movement that improve the physical and emotional health of participants. Powered by data-driven engagement expertise and personalized programming, and supported by expert content and coaching, the company’s flexible and scalable solutions engage populations, improve quality of life and health outcomes, and prevent and reduce the cost of chronic health conditions. To learn more, visit </w:t>
      </w:r>
      <w:hyperlink r:id="rId6" w:tgtFrame="_blank" w:history="1">
        <w:r w:rsidR="00F0062A" w:rsidRPr="00F0062A">
          <w:rPr>
            <w:rStyle w:val="normaltextrun"/>
            <w:rFonts w:asciiTheme="minorHAnsi" w:hAnsiTheme="minorHAnsi" w:cstheme="minorHAnsi"/>
            <w:color w:val="0000FF"/>
            <w:u w:val="single"/>
            <w:shd w:val="clear" w:color="auto" w:fill="FFFFFF"/>
          </w:rPr>
          <w:t>www.wondrhealth.com</w:t>
        </w:r>
      </w:hyperlink>
      <w:r w:rsidR="00F0062A" w:rsidRPr="00F0062A">
        <w:rPr>
          <w:rStyle w:val="normaltextrun"/>
          <w:rFonts w:asciiTheme="minorHAnsi" w:hAnsiTheme="minorHAnsi" w:cstheme="minorHAnsi"/>
          <w:color w:val="000000"/>
          <w:shd w:val="clear" w:color="auto" w:fill="FFFFFF"/>
        </w:rPr>
        <w:t>.</w:t>
      </w:r>
      <w:r w:rsidR="00F0062A" w:rsidRPr="00F0062A">
        <w:rPr>
          <w:rStyle w:val="eop"/>
          <w:rFonts w:asciiTheme="minorHAnsi" w:hAnsiTheme="minorHAnsi" w:cstheme="minorHAnsi"/>
          <w:color w:val="000000"/>
          <w:shd w:val="clear" w:color="auto" w:fill="FFFFFF"/>
        </w:rPr>
        <w:t> </w:t>
      </w:r>
    </w:p>
    <w:p w14:paraId="05CF9DE9" w14:textId="77777777" w:rsidR="00F0062A" w:rsidRPr="00F0062A" w:rsidRDefault="00F0062A" w:rsidP="00F0062A">
      <w:pPr>
        <w:rPr>
          <w:rFonts w:asciiTheme="minorHAnsi" w:hAnsiTheme="minorHAnsi" w:cstheme="minorHAnsi"/>
        </w:rPr>
      </w:pPr>
    </w:p>
    <w:p w14:paraId="3E1CD725" w14:textId="78E543AD" w:rsidR="005D26C2" w:rsidRDefault="005D26C2" w:rsidP="005D26C2">
      <w:pPr>
        <w:jc w:val="center"/>
        <w:rPr>
          <w:rFonts w:ascii="Helvetica" w:hAnsi="Helvetica"/>
        </w:rPr>
      </w:pPr>
      <w:r>
        <w:rPr>
          <w:rFonts w:ascii="Helvetica" w:hAnsi="Helvetica"/>
        </w:rPr>
        <w:t>***</w:t>
      </w:r>
    </w:p>
    <w:p w14:paraId="51B19153" w14:textId="346BD0D3" w:rsidR="005D26C2" w:rsidRPr="005D26C2" w:rsidRDefault="005D26C2" w:rsidP="00315F4D">
      <w:pPr>
        <w:rPr>
          <w:rFonts w:ascii="Helvetica" w:hAnsi="Helvetica"/>
          <w:i/>
          <w:iCs/>
        </w:rPr>
      </w:pPr>
    </w:p>
    <w:sectPr w:rsidR="005D26C2" w:rsidRPr="005D26C2" w:rsidSect="00D2472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592D7" w14:textId="77777777" w:rsidR="001B3F48" w:rsidRDefault="001B3F48" w:rsidP="00E14C69">
      <w:r>
        <w:separator/>
      </w:r>
    </w:p>
  </w:endnote>
  <w:endnote w:type="continuationSeparator" w:id="0">
    <w:p w14:paraId="2E66E7CE" w14:textId="77777777" w:rsidR="001B3F48" w:rsidRDefault="001B3F48" w:rsidP="00E1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TWalsheimProRegular">
    <w:altName w:val="GTWalsheimProRegular"/>
    <w:panose1 w:val="02000503040000020003"/>
    <w:charset w:val="4D"/>
    <w:family w:val="auto"/>
    <w:pitch w:val="variable"/>
    <w:sig w:usb0="A00002AF" w:usb1="5000206B" w:usb2="00000000" w:usb3="00000000" w:csb0="00000097" w:csb1="00000000"/>
  </w:font>
  <w:font w:name="Times New Roman (Body CS)">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C8EB1" w14:textId="77777777" w:rsidR="00E14C69" w:rsidRDefault="00E14C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4274F" w14:textId="34423829" w:rsidR="00E14C69" w:rsidRDefault="00E14C69">
    <w:pPr>
      <w:pStyle w:val="Footer"/>
    </w:pPr>
    <w:r>
      <w:rPr>
        <w:rFonts w:ascii="GTWalsheimProRegular" w:hAnsi="GTWalsheimProRegular" w:cs="Times New Roman (Body CS)"/>
        <w:b/>
        <w:noProof/>
        <w:color w:val="2D103D"/>
        <w:sz w:val="22"/>
        <w:szCs w:val="22"/>
      </w:rPr>
      <w:drawing>
        <wp:anchor distT="0" distB="0" distL="114300" distR="114300" simplePos="0" relativeHeight="251659264" behindDoc="0" locked="0" layoutInCell="1" allowOverlap="1" wp14:anchorId="6B715B9A" wp14:editId="3174D7BF">
          <wp:simplePos x="0" y="0"/>
          <wp:positionH relativeFrom="column">
            <wp:posOffset>-2717800</wp:posOffset>
          </wp:positionH>
          <wp:positionV relativeFrom="paragraph">
            <wp:posOffset>-279400</wp:posOffset>
          </wp:positionV>
          <wp:extent cx="11131454" cy="89789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31454" cy="89789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C6E36" w14:textId="77777777" w:rsidR="00E14C69" w:rsidRDefault="00E14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385F2" w14:textId="77777777" w:rsidR="001B3F48" w:rsidRDefault="001B3F48" w:rsidP="00E14C69">
      <w:r>
        <w:separator/>
      </w:r>
    </w:p>
  </w:footnote>
  <w:footnote w:type="continuationSeparator" w:id="0">
    <w:p w14:paraId="5E9CE494" w14:textId="77777777" w:rsidR="001B3F48" w:rsidRDefault="001B3F48" w:rsidP="00E1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7241" w14:textId="77777777" w:rsidR="00E14C69" w:rsidRDefault="00E14C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AF4E1" w14:textId="77777777" w:rsidR="00E14C69" w:rsidRDefault="00E14C69" w:rsidP="00E14C69">
    <w:r>
      <w:rPr>
        <w:noProof/>
      </w:rPr>
      <w:drawing>
        <wp:inline distT="0" distB="0" distL="0" distR="0" wp14:anchorId="611D6A35" wp14:editId="40805DCD">
          <wp:extent cx="2719951" cy="342900"/>
          <wp:effectExtent l="0" t="0" r="0" b="0"/>
          <wp:docPr id="1" name="Picture 1" descr="A sign in the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ign in the dark&#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60524" cy="348015"/>
                  </a:xfrm>
                  <a:prstGeom prst="rect">
                    <a:avLst/>
                  </a:prstGeom>
                </pic:spPr>
              </pic:pic>
            </a:graphicData>
          </a:graphic>
        </wp:inline>
      </w:drawing>
    </w:r>
  </w:p>
  <w:p w14:paraId="33F1423E" w14:textId="77777777" w:rsidR="00E14C69" w:rsidRPr="00315F4D" w:rsidRDefault="00E14C69" w:rsidP="00E14C69">
    <w:pPr>
      <w:rPr>
        <w:sz w:val="20"/>
        <w:szCs w:val="20"/>
      </w:rPr>
    </w:pPr>
  </w:p>
  <w:p w14:paraId="49870A95" w14:textId="77777777" w:rsidR="00E14C69" w:rsidRPr="00315F4D" w:rsidRDefault="00E14C69" w:rsidP="00E14C69">
    <w:pPr>
      <w:rPr>
        <w:rFonts w:ascii="GTWalsheimProRegular" w:hAnsi="GTWalsheimProRegular" w:cs="Times New Roman (Body CS)"/>
        <w:b/>
        <w:color w:val="2D103D"/>
        <w:sz w:val="20"/>
        <w:szCs w:val="20"/>
      </w:rPr>
    </w:pPr>
    <w:r w:rsidRPr="00315F4D">
      <w:rPr>
        <w:rFonts w:ascii="GTWalsheimProRegular" w:hAnsi="GTWalsheimProRegular" w:cs="Times New Roman (Body CS)"/>
        <w:b/>
        <w:color w:val="2D103D"/>
        <w:sz w:val="20"/>
        <w:szCs w:val="20"/>
      </w:rPr>
      <w:t xml:space="preserve">12790 MERIT DR, BLDG.9 SUITE 700 </w:t>
    </w:r>
    <w:r w:rsidRPr="00315F4D">
      <w:rPr>
        <w:rFonts w:ascii="GTWalsheimProRegular" w:hAnsi="GTWalsheimProRegular" w:cs="Times New Roman (Body CS)"/>
        <w:b/>
        <w:color w:val="2D103D"/>
        <w:sz w:val="20"/>
        <w:szCs w:val="20"/>
      </w:rPr>
      <w:br/>
      <w:t>DALLAS, TX 75251</w:t>
    </w:r>
  </w:p>
  <w:p w14:paraId="5CADC999" w14:textId="77777777" w:rsidR="00E14C69" w:rsidRPr="00315F4D" w:rsidRDefault="00E14C69" w:rsidP="00E14C69">
    <w:pPr>
      <w:rPr>
        <w:rFonts w:ascii="GTWalsheimProRegular" w:hAnsi="GTWalsheimProRegular" w:cs="Times New Roman (Body CS)"/>
        <w:b/>
        <w:color w:val="2D103D"/>
        <w:sz w:val="20"/>
        <w:szCs w:val="20"/>
      </w:rPr>
    </w:pPr>
  </w:p>
  <w:p w14:paraId="1E1111BA" w14:textId="179B668E" w:rsidR="00E14C69" w:rsidRPr="00E14C69" w:rsidRDefault="00E14C69" w:rsidP="00E14C69">
    <w:pPr>
      <w:rPr>
        <w:rFonts w:ascii="GTWalsheimProRegular" w:hAnsi="GTWalsheimProRegular" w:cs="Times New Roman (Body CS)"/>
        <w:b/>
        <w:color w:val="2D103D"/>
        <w:sz w:val="20"/>
        <w:szCs w:val="20"/>
      </w:rPr>
    </w:pPr>
    <w:r w:rsidRPr="00315F4D">
      <w:rPr>
        <w:rFonts w:ascii="GTWalsheimProRegular" w:hAnsi="GTWalsheimProRegular" w:cs="Times New Roman (Body CS)"/>
        <w:b/>
        <w:color w:val="2D103D"/>
        <w:sz w:val="20"/>
        <w:szCs w:val="20"/>
      </w:rPr>
      <w:t>WONDRHEALTH.COM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63E5" w14:textId="77777777" w:rsidR="00E14C69" w:rsidRDefault="00E14C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87"/>
  <w:drawingGridVerticalSpacing w:val="187"/>
  <w:doNotUseMarginsForDrawingGridOrigin/>
  <w:drawingGridHorizontalOrigin w:val="1440"/>
  <w:drawingGridVerticalOrigin w:val="144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F4D"/>
    <w:rsid w:val="001A4F60"/>
    <w:rsid w:val="001B3F48"/>
    <w:rsid w:val="001C6419"/>
    <w:rsid w:val="00211E05"/>
    <w:rsid w:val="00315F4D"/>
    <w:rsid w:val="00343EC4"/>
    <w:rsid w:val="003507F1"/>
    <w:rsid w:val="004D0454"/>
    <w:rsid w:val="005C01C5"/>
    <w:rsid w:val="005C2F5E"/>
    <w:rsid w:val="005D26C2"/>
    <w:rsid w:val="007D0697"/>
    <w:rsid w:val="00B31CB2"/>
    <w:rsid w:val="00B43444"/>
    <w:rsid w:val="00D2472D"/>
    <w:rsid w:val="00E14C69"/>
    <w:rsid w:val="00F00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4DF4"/>
  <w15:chartTrackingRefBased/>
  <w15:docId w15:val="{C9695A84-9505-6246-873D-5A04A9E4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EC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C69"/>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E14C69"/>
  </w:style>
  <w:style w:type="paragraph" w:styleId="Footer">
    <w:name w:val="footer"/>
    <w:basedOn w:val="Normal"/>
    <w:link w:val="FooterChar"/>
    <w:uiPriority w:val="99"/>
    <w:unhideWhenUsed/>
    <w:rsid w:val="00E14C69"/>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E14C69"/>
  </w:style>
  <w:style w:type="character" w:styleId="Hyperlink">
    <w:name w:val="Hyperlink"/>
    <w:basedOn w:val="DefaultParagraphFont"/>
    <w:uiPriority w:val="99"/>
    <w:unhideWhenUsed/>
    <w:rsid w:val="00343EC4"/>
    <w:rPr>
      <w:color w:val="0563C1" w:themeColor="hyperlink"/>
      <w:u w:val="single"/>
    </w:rPr>
  </w:style>
  <w:style w:type="character" w:styleId="UnresolvedMention">
    <w:name w:val="Unresolved Mention"/>
    <w:basedOn w:val="DefaultParagraphFont"/>
    <w:uiPriority w:val="99"/>
    <w:semiHidden/>
    <w:unhideWhenUsed/>
    <w:rsid w:val="005D26C2"/>
    <w:rPr>
      <w:color w:val="605E5C"/>
      <w:shd w:val="clear" w:color="auto" w:fill="E1DFDD"/>
    </w:rPr>
  </w:style>
  <w:style w:type="character" w:customStyle="1" w:styleId="normaltextrun">
    <w:name w:val="normaltextrun"/>
    <w:basedOn w:val="DefaultParagraphFont"/>
    <w:rsid w:val="00F0062A"/>
  </w:style>
  <w:style w:type="character" w:customStyle="1" w:styleId="eop">
    <w:name w:val="eop"/>
    <w:basedOn w:val="DefaultParagraphFont"/>
    <w:rsid w:val="00F00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http://www.wondrhealth.com/"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7387C08CBD543BC964CAE6BAE1B2B" ma:contentTypeVersion="16" ma:contentTypeDescription="Create a new document." ma:contentTypeScope="" ma:versionID="708a7360fa1dfa42b737912928550a45">
  <xsd:schema xmlns:xsd="http://www.w3.org/2001/XMLSchema" xmlns:xs="http://www.w3.org/2001/XMLSchema" xmlns:p="http://schemas.microsoft.com/office/2006/metadata/properties" xmlns:ns2="d17b335e-2125-45ab-abaa-788aab2e8f7e" xmlns:ns3="5399d557-e6f0-4c2b-ac36-cd91ca48e164" targetNamespace="http://schemas.microsoft.com/office/2006/metadata/properties" ma:root="true" ma:fieldsID="e2ab158e1ed0c52868e7af498b565247" ns2:_="" ns3:_="">
    <xsd:import namespace="d17b335e-2125-45ab-abaa-788aab2e8f7e"/>
    <xsd:import namespace="5399d557-e6f0-4c2b-ac36-cd91ca48e1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b335e-2125-45ab-abaa-788aab2e8f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ccc3d9c-40d3-4863-9688-99a2275891b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99d557-e6f0-4c2b-ac36-cd91ca48e1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69bc91d-d2de-4aba-89f3-83fa41d11d1b}" ma:internalName="TaxCatchAll" ma:showField="CatchAllData" ma:web="5399d557-e6f0-4c2b-ac36-cd91ca48e1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17b335e-2125-45ab-abaa-788aab2e8f7e">
      <Terms xmlns="http://schemas.microsoft.com/office/infopath/2007/PartnerControls"/>
    </lcf76f155ced4ddcb4097134ff3c332f>
    <TaxCatchAll xmlns="5399d557-e6f0-4c2b-ac36-cd91ca48e164" xsi:nil="true"/>
  </documentManagement>
</p:properties>
</file>

<file path=customXml/itemProps1.xml><?xml version="1.0" encoding="utf-8"?>
<ds:datastoreItem xmlns:ds="http://schemas.openxmlformats.org/officeDocument/2006/customXml" ds:itemID="{5E339B36-1F9E-4739-A8B0-F6CB8C26C3BB}"/>
</file>

<file path=customXml/itemProps2.xml><?xml version="1.0" encoding="utf-8"?>
<ds:datastoreItem xmlns:ds="http://schemas.openxmlformats.org/officeDocument/2006/customXml" ds:itemID="{4029689D-691B-4326-BEC9-3EE254C852D4}"/>
</file>

<file path=customXml/itemProps3.xml><?xml version="1.0" encoding="utf-8"?>
<ds:datastoreItem xmlns:ds="http://schemas.openxmlformats.org/officeDocument/2006/customXml" ds:itemID="{7D8154F5-F9DE-4DEA-8EB9-98F7EF54F05B}"/>
</file>

<file path=docProps/app.xml><?xml version="1.0" encoding="utf-8"?>
<Properties xmlns="http://schemas.openxmlformats.org/officeDocument/2006/extended-properties" xmlns:vt="http://schemas.openxmlformats.org/officeDocument/2006/docPropsVTypes">
  <Template>Normal.dotm</Template>
  <TotalTime>4</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Young</dc:creator>
  <cp:keywords/>
  <dc:description/>
  <cp:lastModifiedBy>Livvie Van Lanen</cp:lastModifiedBy>
  <cp:revision>6</cp:revision>
  <dcterms:created xsi:type="dcterms:W3CDTF">2021-05-04T17:47:00Z</dcterms:created>
  <dcterms:modified xsi:type="dcterms:W3CDTF">2023-03-09T21:49:00Z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0x0101007A47387C08CBD543BC964CAE6BAE1B2B</vt:lpwstr>
  </property>
</Properties>
</file>